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E" w:rsidRDefault="00AC0138" w:rsidP="005D6C1E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32566B">
        <w:rPr>
          <w:rFonts w:ascii="Comic Sans MS" w:hAnsi="Comic Sans MS"/>
          <w:sz w:val="32"/>
          <w:szCs w:val="32"/>
        </w:rPr>
        <w:t xml:space="preserve">word endings spelt </w:t>
      </w:r>
      <w:r w:rsidR="006331B6">
        <w:rPr>
          <w:rFonts w:ascii="Comic Sans MS" w:hAnsi="Comic Sans MS"/>
          <w:sz w:val="32"/>
          <w:szCs w:val="32"/>
        </w:rPr>
        <w:t>–</w:t>
      </w:r>
      <w:proofErr w:type="spellStart"/>
      <w:r w:rsidR="006331B6">
        <w:rPr>
          <w:rFonts w:ascii="Comic Sans MS" w:hAnsi="Comic Sans MS"/>
          <w:sz w:val="32"/>
          <w:szCs w:val="32"/>
        </w:rPr>
        <w:t>cial</w:t>
      </w:r>
      <w:proofErr w:type="spellEnd"/>
      <w:r w:rsidR="006331B6">
        <w:rPr>
          <w:rFonts w:ascii="Comic Sans MS" w:hAnsi="Comic Sans MS"/>
          <w:sz w:val="32"/>
          <w:szCs w:val="32"/>
        </w:rPr>
        <w:t xml:space="preserve"> and -</w:t>
      </w:r>
      <w:proofErr w:type="spellStart"/>
      <w:r w:rsidR="006331B6">
        <w:rPr>
          <w:rFonts w:ascii="Comic Sans MS" w:hAnsi="Comic Sans MS"/>
          <w:sz w:val="32"/>
          <w:szCs w:val="32"/>
        </w:rPr>
        <w:t>tial</w:t>
      </w:r>
      <w:proofErr w:type="spellEnd"/>
      <w:r w:rsidR="005D6C1E">
        <w:rPr>
          <w:rFonts w:ascii="Comic Sans MS" w:hAnsi="Comic Sans MS"/>
          <w:sz w:val="32"/>
          <w:szCs w:val="32"/>
        </w:rPr>
        <w:t xml:space="preserve"> </w:t>
      </w:r>
    </w:p>
    <w:p w:rsidR="003611C5" w:rsidRPr="00AC0138" w:rsidRDefault="003611C5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B80A8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B80A8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artificial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B80A8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confidential</w:t>
            </w:r>
          </w:p>
        </w:tc>
        <w:tc>
          <w:tcPr>
            <w:tcW w:w="2373" w:type="dxa"/>
          </w:tcPr>
          <w:p w:rsidR="00AC0138" w:rsidRPr="00AC0138" w:rsidRDefault="006331B6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B80A8A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B80A8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partial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B80A8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</w:t>
            </w:r>
          </w:p>
        </w:tc>
        <w:tc>
          <w:tcPr>
            <w:tcW w:w="2373" w:type="dxa"/>
          </w:tcPr>
          <w:p w:rsidR="00AC0138" w:rsidRPr="00AC0138" w:rsidRDefault="006331B6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mischievous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B80A8A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official</w:t>
            </w:r>
            <w:r w:rsidR="00551A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B80A8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B80A8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beneficial</w:t>
            </w:r>
          </w:p>
        </w:tc>
        <w:tc>
          <w:tcPr>
            <w:tcW w:w="2373" w:type="dxa"/>
          </w:tcPr>
          <w:p w:rsidR="00AC0138" w:rsidRPr="00AC0138" w:rsidRDefault="006331B6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immediately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B80A8A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crucial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6331B6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antisocial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B80A8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torrential</w:t>
            </w:r>
          </w:p>
        </w:tc>
        <w:tc>
          <w:tcPr>
            <w:tcW w:w="2373" w:type="dxa"/>
          </w:tcPr>
          <w:p w:rsidR="00AC0138" w:rsidRPr="00AC0138" w:rsidRDefault="006331B6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frequently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506AF3" w:rsidRDefault="00506AF3" w:rsidP="006331B6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To learn </w:t>
      </w:r>
      <w:r>
        <w:rPr>
          <w:rFonts w:ascii="Comic Sans MS" w:hAnsi="Comic Sans MS"/>
          <w:sz w:val="32"/>
          <w:szCs w:val="32"/>
        </w:rPr>
        <w:t xml:space="preserve">word endings spelt </w:t>
      </w:r>
      <w:r w:rsidR="006331B6">
        <w:rPr>
          <w:rFonts w:ascii="Comic Sans MS" w:hAnsi="Comic Sans MS"/>
          <w:sz w:val="32"/>
          <w:szCs w:val="32"/>
        </w:rPr>
        <w:t>–</w:t>
      </w:r>
      <w:proofErr w:type="spellStart"/>
      <w:r w:rsidR="006331B6">
        <w:rPr>
          <w:rFonts w:ascii="Comic Sans MS" w:hAnsi="Comic Sans MS"/>
          <w:sz w:val="32"/>
          <w:szCs w:val="32"/>
        </w:rPr>
        <w:t>cial</w:t>
      </w:r>
      <w:proofErr w:type="spellEnd"/>
      <w:r w:rsidR="006331B6">
        <w:rPr>
          <w:rFonts w:ascii="Comic Sans MS" w:hAnsi="Comic Sans MS"/>
          <w:sz w:val="32"/>
          <w:szCs w:val="32"/>
        </w:rPr>
        <w:t xml:space="preserve"> and -</w:t>
      </w:r>
      <w:proofErr w:type="spellStart"/>
      <w:r w:rsidR="006331B6">
        <w:rPr>
          <w:rFonts w:ascii="Comic Sans MS" w:hAnsi="Comic Sans MS"/>
          <w:sz w:val="32"/>
          <w:szCs w:val="32"/>
        </w:rPr>
        <w:t>tial</w:t>
      </w:r>
      <w:proofErr w:type="spellEnd"/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506AF3" w:rsidTr="00F816B3">
        <w:tc>
          <w:tcPr>
            <w:tcW w:w="233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6331B6" w:rsidTr="00F816B3">
        <w:tc>
          <w:tcPr>
            <w:tcW w:w="2330" w:type="dxa"/>
            <w:shd w:val="clear" w:color="auto" w:fill="B2A1C7" w:themeFill="accent4" w:themeFillTint="99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</w:tc>
        <w:tc>
          <w:tcPr>
            <w:tcW w:w="2313" w:type="dxa"/>
            <w:shd w:val="clear" w:color="auto" w:fill="92D050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artificial</w:t>
            </w:r>
          </w:p>
        </w:tc>
        <w:tc>
          <w:tcPr>
            <w:tcW w:w="2335" w:type="dxa"/>
            <w:shd w:val="clear" w:color="auto" w:fill="FFFF00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confidential</w:t>
            </w:r>
          </w:p>
        </w:tc>
        <w:tc>
          <w:tcPr>
            <w:tcW w:w="2373" w:type="dxa"/>
          </w:tcPr>
          <w:p w:rsidR="006331B6" w:rsidRPr="00AC0138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</w:t>
            </w:r>
          </w:p>
        </w:tc>
      </w:tr>
      <w:tr w:rsidR="006331B6" w:rsidTr="00F816B3">
        <w:tc>
          <w:tcPr>
            <w:tcW w:w="2330" w:type="dxa"/>
            <w:shd w:val="clear" w:color="auto" w:fill="B2A1C7" w:themeFill="accent4" w:themeFillTint="99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</w:t>
            </w:r>
          </w:p>
        </w:tc>
        <w:tc>
          <w:tcPr>
            <w:tcW w:w="2313" w:type="dxa"/>
            <w:shd w:val="clear" w:color="auto" w:fill="92D050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partial</w:t>
            </w:r>
          </w:p>
        </w:tc>
        <w:tc>
          <w:tcPr>
            <w:tcW w:w="2335" w:type="dxa"/>
            <w:shd w:val="clear" w:color="auto" w:fill="FFFF00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</w:t>
            </w:r>
          </w:p>
        </w:tc>
        <w:tc>
          <w:tcPr>
            <w:tcW w:w="2373" w:type="dxa"/>
          </w:tcPr>
          <w:p w:rsidR="006331B6" w:rsidRPr="00AC0138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mischievous</w:t>
            </w:r>
          </w:p>
        </w:tc>
      </w:tr>
      <w:tr w:rsidR="006331B6" w:rsidTr="00F816B3">
        <w:tc>
          <w:tcPr>
            <w:tcW w:w="2330" w:type="dxa"/>
            <w:shd w:val="clear" w:color="auto" w:fill="B2A1C7" w:themeFill="accent4" w:themeFillTint="99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official </w:t>
            </w:r>
          </w:p>
        </w:tc>
        <w:tc>
          <w:tcPr>
            <w:tcW w:w="2313" w:type="dxa"/>
            <w:shd w:val="clear" w:color="auto" w:fill="92D050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2335" w:type="dxa"/>
            <w:shd w:val="clear" w:color="auto" w:fill="FFFF00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beneficial</w:t>
            </w:r>
          </w:p>
        </w:tc>
        <w:tc>
          <w:tcPr>
            <w:tcW w:w="2373" w:type="dxa"/>
          </w:tcPr>
          <w:p w:rsidR="006331B6" w:rsidRPr="00AC0138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immediately</w:t>
            </w:r>
          </w:p>
        </w:tc>
      </w:tr>
      <w:tr w:rsidR="006331B6" w:rsidTr="00F816B3">
        <w:tc>
          <w:tcPr>
            <w:tcW w:w="2330" w:type="dxa"/>
            <w:shd w:val="clear" w:color="auto" w:fill="B2A1C7" w:themeFill="accent4" w:themeFillTint="99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crucial</w:t>
            </w:r>
          </w:p>
        </w:tc>
        <w:tc>
          <w:tcPr>
            <w:tcW w:w="2313" w:type="dxa"/>
            <w:shd w:val="clear" w:color="auto" w:fill="92D050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antisocial</w:t>
            </w:r>
          </w:p>
        </w:tc>
        <w:tc>
          <w:tcPr>
            <w:tcW w:w="2335" w:type="dxa"/>
            <w:shd w:val="clear" w:color="auto" w:fill="FFFF00"/>
          </w:tcPr>
          <w:p w:rsidR="006331B6" w:rsidRPr="003D3E35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torrential</w:t>
            </w:r>
          </w:p>
        </w:tc>
        <w:tc>
          <w:tcPr>
            <w:tcW w:w="2373" w:type="dxa"/>
          </w:tcPr>
          <w:p w:rsidR="006331B6" w:rsidRPr="00AC0138" w:rsidRDefault="006331B6" w:rsidP="0063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frequently</w:t>
            </w:r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FE" w:rsidRDefault="00B80A8A">
    <w:pPr>
      <w:pStyle w:val="Header"/>
    </w:pPr>
    <w:r>
      <w:t>Week 5</w:t>
    </w:r>
  </w:p>
  <w:p w:rsidR="00C64452" w:rsidRDefault="00B80A8A">
    <w:pPr>
      <w:pStyle w:val="Header"/>
    </w:pPr>
    <w:r>
      <w:t>Handout Monday 28</w:t>
    </w:r>
    <w:r w:rsidRPr="00B80A8A">
      <w:rPr>
        <w:vertAlign w:val="superscript"/>
      </w:rPr>
      <w:t>th</w:t>
    </w:r>
    <w:r>
      <w:t xml:space="preserve"> September</w:t>
    </w:r>
    <w:r w:rsidR="00C64452">
      <w:tab/>
    </w:r>
    <w:r w:rsidR="00C64452">
      <w:tab/>
    </w:r>
    <w:r w:rsidR="007102FE">
      <w:t xml:space="preserve">     </w:t>
    </w:r>
    <w:r w:rsidR="00C64452">
      <w:t xml:space="preserve">Due back </w:t>
    </w:r>
    <w:r w:rsidR="007102FE">
      <w:t xml:space="preserve">Friday </w:t>
    </w:r>
    <w:r>
      <w:t>2</w:t>
    </w:r>
    <w:r w:rsidRPr="00B80A8A">
      <w:rPr>
        <w:vertAlign w:val="superscript"/>
      </w:rPr>
      <w:t>nd</w:t>
    </w:r>
    <w:r>
      <w:t xml:space="preserve"> 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1536F3"/>
    <w:rsid w:val="0032566B"/>
    <w:rsid w:val="003611C5"/>
    <w:rsid w:val="00363056"/>
    <w:rsid w:val="00363DC9"/>
    <w:rsid w:val="003952FA"/>
    <w:rsid w:val="003B4900"/>
    <w:rsid w:val="003C40CF"/>
    <w:rsid w:val="003D3E35"/>
    <w:rsid w:val="0044220D"/>
    <w:rsid w:val="00445249"/>
    <w:rsid w:val="00470B81"/>
    <w:rsid w:val="004F79BB"/>
    <w:rsid w:val="00506AF3"/>
    <w:rsid w:val="00551A5E"/>
    <w:rsid w:val="005D4B19"/>
    <w:rsid w:val="005D6C1E"/>
    <w:rsid w:val="006331B6"/>
    <w:rsid w:val="00636432"/>
    <w:rsid w:val="00670D11"/>
    <w:rsid w:val="007066AE"/>
    <w:rsid w:val="007102FE"/>
    <w:rsid w:val="007277CA"/>
    <w:rsid w:val="007B2412"/>
    <w:rsid w:val="007B2EEA"/>
    <w:rsid w:val="00811364"/>
    <w:rsid w:val="008F32FC"/>
    <w:rsid w:val="009A7F68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822CA"/>
    <w:rsid w:val="00E90EA6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D4315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2</cp:revision>
  <cp:lastPrinted>2020-09-10T12:25:00Z</cp:lastPrinted>
  <dcterms:created xsi:type="dcterms:W3CDTF">2020-09-24T12:25:00Z</dcterms:created>
  <dcterms:modified xsi:type="dcterms:W3CDTF">2020-09-24T12:25:00Z</dcterms:modified>
</cp:coreProperties>
</file>