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4F33F2" w:rsidRPr="004F33F2">
        <w:rPr>
          <w:rFonts w:asciiTheme="minorHAnsi" w:hAnsiTheme="minorHAnsi" w:cstheme="minorHAnsi"/>
          <w:sz w:val="36"/>
          <w:szCs w:val="32"/>
        </w:rPr>
        <w:t>words ending in -ant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instant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tolerant</w:t>
            </w:r>
          </w:p>
        </w:tc>
        <w:tc>
          <w:tcPr>
            <w:tcW w:w="2373" w:type="dxa"/>
          </w:tcPr>
          <w:p w:rsidR="00AC0138" w:rsidRPr="00AC0138" w:rsidRDefault="00E917F1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4F33F2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distant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pleasant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4F33F2" w:rsidP="006A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triumphant</w:t>
            </w:r>
          </w:p>
        </w:tc>
        <w:tc>
          <w:tcPr>
            <w:tcW w:w="2373" w:type="dxa"/>
          </w:tcPr>
          <w:p w:rsidR="00AC0138" w:rsidRPr="00AC0138" w:rsidRDefault="00E917F1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4F33F2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vibrant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reluctant</w:t>
            </w:r>
          </w:p>
        </w:tc>
        <w:tc>
          <w:tcPr>
            <w:tcW w:w="2373" w:type="dxa"/>
          </w:tcPr>
          <w:p w:rsidR="00AC0138" w:rsidRPr="00AC0138" w:rsidRDefault="00E917F1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</w:tc>
      </w:tr>
      <w:tr w:rsidR="006C79AC" w:rsidTr="00857B1C">
        <w:trPr>
          <w:trHeight w:val="426"/>
        </w:trPr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4F33F2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4F33F2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irrelevant</w:t>
            </w:r>
          </w:p>
        </w:tc>
        <w:tc>
          <w:tcPr>
            <w:tcW w:w="2373" w:type="dxa"/>
          </w:tcPr>
          <w:p w:rsidR="00AC0138" w:rsidRPr="00AC0138" w:rsidRDefault="00E917F1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E917F1" w:rsidRPr="00857B1C" w:rsidRDefault="00E917F1" w:rsidP="00E917F1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 w:rsidRPr="004F33F2">
        <w:rPr>
          <w:rFonts w:asciiTheme="minorHAnsi" w:hAnsiTheme="minorHAnsi" w:cstheme="minorHAnsi"/>
          <w:sz w:val="36"/>
          <w:szCs w:val="32"/>
        </w:rPr>
        <w:t>words ending in -ant</w:t>
      </w:r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E917F1" w:rsidTr="00E917F1">
        <w:tc>
          <w:tcPr>
            <w:tcW w:w="2270" w:type="dxa"/>
            <w:shd w:val="clear" w:color="auto" w:fill="B2A1C7" w:themeFill="accent4" w:themeFillTint="99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instant</w:t>
            </w:r>
          </w:p>
        </w:tc>
        <w:tc>
          <w:tcPr>
            <w:tcW w:w="2390" w:type="dxa"/>
            <w:shd w:val="clear" w:color="auto" w:fill="92D05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</w:t>
            </w:r>
          </w:p>
        </w:tc>
        <w:tc>
          <w:tcPr>
            <w:tcW w:w="2390" w:type="dxa"/>
            <w:shd w:val="clear" w:color="auto" w:fill="FFFF0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tolerant</w:t>
            </w:r>
          </w:p>
        </w:tc>
        <w:tc>
          <w:tcPr>
            <w:tcW w:w="2301" w:type="dxa"/>
          </w:tcPr>
          <w:p w:rsidR="00E917F1" w:rsidRPr="00AC0138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</w:t>
            </w:r>
          </w:p>
        </w:tc>
      </w:tr>
      <w:tr w:rsidR="00E917F1" w:rsidTr="00E917F1">
        <w:tc>
          <w:tcPr>
            <w:tcW w:w="2270" w:type="dxa"/>
            <w:shd w:val="clear" w:color="auto" w:fill="B2A1C7" w:themeFill="accent4" w:themeFillTint="99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distant</w:t>
            </w:r>
          </w:p>
        </w:tc>
        <w:tc>
          <w:tcPr>
            <w:tcW w:w="2390" w:type="dxa"/>
            <w:shd w:val="clear" w:color="auto" w:fill="92D05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pleasant</w:t>
            </w:r>
          </w:p>
        </w:tc>
        <w:tc>
          <w:tcPr>
            <w:tcW w:w="2390" w:type="dxa"/>
            <w:shd w:val="clear" w:color="auto" w:fill="FFFF0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triumphant</w:t>
            </w:r>
          </w:p>
        </w:tc>
        <w:tc>
          <w:tcPr>
            <w:tcW w:w="2301" w:type="dxa"/>
          </w:tcPr>
          <w:p w:rsidR="00E917F1" w:rsidRPr="00AC0138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</w:tr>
      <w:tr w:rsidR="00E917F1" w:rsidTr="00E917F1">
        <w:tc>
          <w:tcPr>
            <w:tcW w:w="2270" w:type="dxa"/>
            <w:shd w:val="clear" w:color="auto" w:fill="B2A1C7" w:themeFill="accent4" w:themeFillTint="99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vibrant</w:t>
            </w:r>
          </w:p>
        </w:tc>
        <w:tc>
          <w:tcPr>
            <w:tcW w:w="2390" w:type="dxa"/>
            <w:shd w:val="clear" w:color="auto" w:fill="92D05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elegant</w:t>
            </w:r>
          </w:p>
        </w:tc>
        <w:tc>
          <w:tcPr>
            <w:tcW w:w="2390" w:type="dxa"/>
            <w:shd w:val="clear" w:color="auto" w:fill="FFFF0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reluctant</w:t>
            </w:r>
          </w:p>
        </w:tc>
        <w:tc>
          <w:tcPr>
            <w:tcW w:w="2301" w:type="dxa"/>
          </w:tcPr>
          <w:p w:rsidR="00E917F1" w:rsidRPr="00AC0138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</w:tc>
      </w:tr>
      <w:tr w:rsidR="00E917F1" w:rsidTr="00E917F1">
        <w:tc>
          <w:tcPr>
            <w:tcW w:w="2270" w:type="dxa"/>
            <w:shd w:val="clear" w:color="auto" w:fill="B2A1C7" w:themeFill="accent4" w:themeFillTint="99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</w:t>
            </w:r>
          </w:p>
        </w:tc>
        <w:tc>
          <w:tcPr>
            <w:tcW w:w="2390" w:type="dxa"/>
            <w:shd w:val="clear" w:color="auto" w:fill="92D05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</w:t>
            </w:r>
          </w:p>
        </w:tc>
        <w:tc>
          <w:tcPr>
            <w:tcW w:w="2390" w:type="dxa"/>
            <w:shd w:val="clear" w:color="auto" w:fill="FFFF00"/>
          </w:tcPr>
          <w:p w:rsidR="00E917F1" w:rsidRPr="003D3E35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irrelevant</w:t>
            </w:r>
          </w:p>
        </w:tc>
        <w:tc>
          <w:tcPr>
            <w:tcW w:w="2301" w:type="dxa"/>
          </w:tcPr>
          <w:p w:rsidR="00E917F1" w:rsidRPr="00AC0138" w:rsidRDefault="00E917F1" w:rsidP="00E91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4F33F2">
    <w:pPr>
      <w:pStyle w:val="Header"/>
    </w:pPr>
    <w:r>
      <w:t>Week 1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4F33F2">
      <w:t>2</w:t>
    </w:r>
    <w:r w:rsidR="004F33F2" w:rsidRPr="004F33F2">
      <w:rPr>
        <w:vertAlign w:val="superscript"/>
      </w:rPr>
      <w:t>nd</w:t>
    </w:r>
    <w:r w:rsidR="004F33F2">
      <w:t xml:space="preserve"> November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4F33F2">
      <w:t>Friday 6</w:t>
    </w:r>
    <w:r w:rsidR="004F33F2" w:rsidRPr="004F33F2">
      <w:rPr>
        <w:vertAlign w:val="superscript"/>
      </w:rPr>
      <w:t>th</w:t>
    </w:r>
    <w:r w:rsidR="004F33F2">
      <w:t xml:space="preserve">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33F2"/>
    <w:rsid w:val="004F79BB"/>
    <w:rsid w:val="00506AF3"/>
    <w:rsid w:val="00551A5E"/>
    <w:rsid w:val="005D4B19"/>
    <w:rsid w:val="005D6C1E"/>
    <w:rsid w:val="00617602"/>
    <w:rsid w:val="006331B6"/>
    <w:rsid w:val="00636432"/>
    <w:rsid w:val="00670D11"/>
    <w:rsid w:val="006A1420"/>
    <w:rsid w:val="006C79AC"/>
    <w:rsid w:val="007066AE"/>
    <w:rsid w:val="007102FE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65B0F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Kelly Porter</cp:lastModifiedBy>
  <cp:revision>3</cp:revision>
  <cp:lastPrinted>2020-09-10T12:25:00Z</cp:lastPrinted>
  <dcterms:created xsi:type="dcterms:W3CDTF">2020-10-20T15:16:00Z</dcterms:created>
  <dcterms:modified xsi:type="dcterms:W3CDTF">2020-10-20T15:19:00Z</dcterms:modified>
</cp:coreProperties>
</file>